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50"/>
        </w:tabs>
        <w:jc w:val="left"/>
        <w:rPr>
          <w:rFonts w:hint="eastAsia" w:ascii="FangSong_GB2312" w:hAnsi="SimHei" w:eastAsia="FangSong_GB2312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附件7：</w:t>
      </w:r>
    </w:p>
    <w:p>
      <w:pPr>
        <w:spacing w:line="640" w:lineRule="exact"/>
        <w:jc w:val="center"/>
        <w:rPr>
          <w:rFonts w:hint="eastAsia" w:ascii="FZXiaoBiaoSong-B05S" w:hAnsi="SimSun" w:eastAsia="FZXiaoBiaoSong-B05S" w:cs="Times New Roman"/>
          <w:sz w:val="36"/>
          <w:szCs w:val="36"/>
        </w:rPr>
      </w:pPr>
      <w:r>
        <w:rPr>
          <w:rFonts w:hint="eastAsia" w:ascii="FZXiaoBiaoSong-B05S" w:hAnsi="SimSun" w:eastAsia="FZXiaoBiaoSong-B05S" w:cs="Times New Roman"/>
          <w:sz w:val="36"/>
          <w:szCs w:val="36"/>
        </w:rPr>
        <w:t>衢州市“道地药园”省级示范基地认定评分表</w:t>
      </w:r>
    </w:p>
    <w:p>
      <w:pPr>
        <w:tabs>
          <w:tab w:val="left" w:pos="1950"/>
        </w:tabs>
        <w:jc w:val="center"/>
        <w:rPr>
          <w:rFonts w:ascii="Calibri" w:hAnsi="Calibri" w:eastAsia="FangSong_GB2312" w:cs="Times New Roman"/>
          <w:sz w:val="32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740"/>
        <w:gridCol w:w="8505"/>
        <w:gridCol w:w="765"/>
        <w:gridCol w:w="975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项目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评分内容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分值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得分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评分依据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生产规模</w:t>
            </w: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适度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具有一定的规模，相对集中连片种植，大宗药材在200亩以上，珍稀名贵药材生产规模在50亩以上。按照中药材道地性与中药材产地适宜性优化原则，合理选择与布局。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10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现场检查及查看资料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生态环境</w:t>
            </w: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良好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生产环境符合国家最新标准，并持续符合标准要求：空气符合国家《环境空气质量标准》（GB3095）二类区要求；土壤符合国家《土壤环境质量标准》（</w:t>
            </w:r>
            <w:r>
              <w:rPr>
                <w:rFonts w:ascii="Times New Roman" w:hAnsi="Times New Roman" w:eastAsia="FangSong_GB2312" w:cs="Times New Roman"/>
                <w:sz w:val="24"/>
              </w:rPr>
              <w:t>GB 15618-2008）</w:t>
            </w: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的二级标准,并测定养分情况；灌溉水符合国家《农田灌溉水质标准》</w:t>
            </w:r>
            <w:r>
              <w:rPr>
                <w:rFonts w:ascii="Times New Roman" w:hAnsi="Times New Roman" w:eastAsia="FangSong_GB2312" w:cs="Times New Roman"/>
                <w:sz w:val="24"/>
              </w:rPr>
              <w:t>（GB 5084）</w:t>
            </w: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。有空气、水、土壤（基质）等产地环境检测报告。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10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查看资料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基础设施完备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配备有与生产需要相匹配的道路沟渠，以及生产管理用房、场地，通电通水，或有清洁水源。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10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现场检查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</w:rPr>
              <w:t>药材种源纯正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</w:rPr>
              <w:t>种植的药用植物，须经权威部门物种(包括亚种、变种或品种)鉴定，并符合传统道地药材与有关法定标准(如《中国药典》2015年版等)规定要求，有物种鉴定证书或品种认定证书，纯正率达到100％。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15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查看资料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</w:rPr>
              <w:t>管理科学规范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</w:rPr>
              <w:t>建立生产管理与质量管理体系，生产过程有相应的生产技术标准操作规程和工艺流程图，实行生产全过程质量追溯管理制度；生产环境卫生清洁，无废弃农药化肥包装和其它生产生活垃圾；适时采收，绿色清洁加工，包装与储藏规范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15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现场检查及查看资料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</w:rPr>
              <w:t>药材道地优质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</w:rPr>
              <w:t>药材外观性状、品质成份等符合《中国药典》(2015年版)的规定要求。重金属和农药残留量等须符合中华人民共和国商务部《药用植物及制剂外经贸绿色行业标准》(WM／T2-2004)的规定要求。附有药材质量检测报告。药材道地性、品质及药效具有较高的认可度，产品品牌具有显著的优势，社会声誉良好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15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查看资料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color w:val="333333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</w:rPr>
              <w:t>生产绿色标准</w:t>
            </w:r>
          </w:p>
          <w:p>
            <w:pPr>
              <w:jc w:val="center"/>
              <w:rPr>
                <w:rFonts w:ascii="Times New Roman" w:hAnsi="Times New Roman" w:eastAsia="FangSong_GB2312" w:cs="Times New Roman"/>
                <w:color w:val="333333"/>
                <w:sz w:val="24"/>
              </w:rPr>
            </w:pPr>
          </w:p>
        </w:tc>
        <w:tc>
          <w:tcPr>
            <w:tcW w:w="8505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</w:rPr>
              <w:t>推广生产技术标准或操作规程；肥料种类以有机肥为主，化学肥料有限度使用，农家肥经充分腐熟达到无害化卫生标准；病虫害防治遵循“预防为主、综合防治”原则，采用生物、物理、农业等绿色防控技术，不使用禁限用农药；农资使用规范，农药化肥用量较面上平均减少20％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15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现场检查及查看资料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示范带动</w:t>
            </w: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性强</w:t>
            </w:r>
          </w:p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8505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可看可学，有示范带动能力；</w:t>
            </w:r>
            <w:r>
              <w:rPr>
                <w:rFonts w:ascii="Times New Roman" w:hAnsi="Times New Roman" w:eastAsia="FangSong_GB2312" w:cs="Times New Roman"/>
                <w:color w:val="333333"/>
                <w:sz w:val="24"/>
              </w:rPr>
              <w:t>在三产融合发展有所创新，带动当地农业结构调整和经济发展；经营理念先进，发展前景较好，</w:t>
            </w: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经济、生态、社会效益良好，可持续发展。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10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  <w:t>查看资料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总分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100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ascii="Times New Roman" w:hAnsi="Times New Roman" w:eastAsia="FangSong_GB2312" w:cs="Times New Roman"/>
                <w:color w:val="333333"/>
                <w:sz w:val="24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80" w:lineRule="exact"/>
        <w:rPr>
          <w:rFonts w:hint="eastAsia" w:ascii="FangSong_GB2312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43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FZXiaoBiaoSong-B05S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1032"/>
    <w:rsid w:val="17B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2019-12-04T02:48:00Z</dcterms:created>
  <dc:creator>请你下雨不打伞。</dc:creator>
  <cp:lastModifiedBy>请你下雨不打伞。</cp:lastModifiedBy>
  <dcterms:modified xsi:type="dcterms:W3CDTF">2019-12-04T02:48:25Z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