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FangSong" w:hAnsi="FangSong" w:eastAsia="FangSong" w:cs="FangSong"/>
          <w:kern w:val="0"/>
          <w:sz w:val="32"/>
          <w:szCs w:val="32"/>
          <w:lang w:eastAsia="zh-CN"/>
        </w:rPr>
      </w:pPr>
      <w:r>
        <w:rPr>
          <w:rFonts w:hint="eastAsia" w:ascii="FangSong" w:hAnsi="FangSong" w:eastAsia="FangSong" w:cs="FangSong"/>
          <w:kern w:val="0"/>
          <w:sz w:val="32"/>
          <w:szCs w:val="32"/>
          <w:lang w:val="en-US" w:eastAsia="zh-CN"/>
        </w:rPr>
        <w:t>附件</w:t>
      </w:r>
      <w:r>
        <w:rPr>
          <w:rFonts w:hint="eastAsia" w:ascii="FangSong" w:hAnsi="FangSong" w:eastAsia="FangSong" w:cs="FangSong"/>
          <w:kern w:val="0"/>
          <w:sz w:val="32"/>
          <w:szCs w:val="32"/>
        </w:rPr>
        <w:t>1</w:t>
      </w:r>
      <w:r>
        <w:rPr>
          <w:rFonts w:hint="eastAsia" w:ascii="FangSong" w:hAnsi="FangSong" w:eastAsia="FangSong" w:cs="FangSong"/>
          <w:kern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衢州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市拖拉机提前报废补偿金额表</w:t>
      </w:r>
    </w:p>
    <w:p>
      <w:pPr>
        <w:adjustRightInd w:val="0"/>
        <w:snapToGrid w:val="0"/>
        <w:spacing w:line="560" w:lineRule="exact"/>
        <w:jc w:val="right"/>
        <w:rPr>
          <w:rFonts w:ascii="仿宋_GB2312" w:hAnsi="SimHei" w:eastAsia="仿宋_GB2312" w:cs="SimHei"/>
          <w:bCs/>
          <w:sz w:val="32"/>
          <w:szCs w:val="32"/>
        </w:rPr>
      </w:pPr>
      <w:r>
        <w:rPr>
          <w:rFonts w:hint="eastAsia" w:ascii="仿宋_GB2312" w:hAnsi="SimHei" w:eastAsia="仿宋_GB2312" w:cs="SimHei"/>
          <w:bCs/>
          <w:sz w:val="32"/>
          <w:szCs w:val="32"/>
        </w:rPr>
        <w:t>单位：万元</w:t>
      </w:r>
      <w:r>
        <w:rPr>
          <w:rFonts w:ascii="仿宋_GB2312" w:hAnsi="SimHei" w:eastAsia="仿宋_GB2312" w:cs="SimHei"/>
          <w:bCs/>
          <w:sz w:val="32"/>
          <w:szCs w:val="32"/>
        </w:rPr>
        <w:t>/</w:t>
      </w:r>
      <w:r>
        <w:rPr>
          <w:rFonts w:hint="eastAsia" w:ascii="仿宋_GB2312" w:hAnsi="SimHei" w:eastAsia="仿宋_GB2312" w:cs="SimHei"/>
          <w:bCs/>
          <w:sz w:val="32"/>
          <w:szCs w:val="32"/>
        </w:rPr>
        <w:t>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650"/>
        <w:gridCol w:w="1695"/>
        <w:gridCol w:w="1695"/>
        <w:gridCol w:w="1890"/>
        <w:gridCol w:w="1710"/>
        <w:gridCol w:w="168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2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注册登记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年度</w:t>
            </w:r>
          </w:p>
        </w:tc>
        <w:tc>
          <w:tcPr>
            <w:tcW w:w="50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/>
                <w:sz w:val="30"/>
                <w:szCs w:val="30"/>
                <w:lang w:val="en-US" w:eastAsia="zh-CN"/>
              </w:rPr>
              <w:t>14.7千瓦以上（含）变型</w:t>
            </w:r>
            <w:r>
              <w:rPr>
                <w:rFonts w:hint="eastAsia" w:ascii="仿宋_GB2312" w:hAnsi="仿宋_GB2312" w:eastAsia="仿宋_GB2312" w:cs="仿宋_GB2312"/>
                <w:b/>
                <w:color w:val="0D0D0D"/>
                <w:sz w:val="30"/>
                <w:szCs w:val="30"/>
              </w:rPr>
              <w:t>拖拉机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注册登记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年度</w:t>
            </w:r>
          </w:p>
        </w:tc>
        <w:tc>
          <w:tcPr>
            <w:tcW w:w="52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/>
                <w:sz w:val="30"/>
                <w:szCs w:val="30"/>
                <w:lang w:val="en-US" w:eastAsia="zh-CN"/>
              </w:rPr>
              <w:t>14.7千瓦以下变型</w:t>
            </w:r>
            <w:r>
              <w:rPr>
                <w:rFonts w:hint="eastAsia" w:ascii="仿宋_GB2312" w:hAnsi="仿宋_GB2312" w:eastAsia="仿宋_GB2312" w:cs="仿宋_GB2312"/>
                <w:b/>
                <w:color w:val="0D0D0D"/>
                <w:sz w:val="30"/>
                <w:szCs w:val="30"/>
              </w:rPr>
              <w:t>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D0D0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地方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/>
              </w:rPr>
              <w:t>提前报废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补偿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/>
                <w:sz w:val="30"/>
                <w:szCs w:val="30"/>
              </w:rPr>
              <w:t>省高耗能补偿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/>
                <w:sz w:val="30"/>
                <w:szCs w:val="30"/>
              </w:rPr>
              <w:t>合计</w:t>
            </w: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地方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/>
              </w:rPr>
              <w:t>提前报废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补偿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/>
                <w:sz w:val="30"/>
                <w:szCs w:val="30"/>
              </w:rPr>
              <w:t>省高耗能补偿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SimSun" w:eastAsia="仿宋_GB2312" w:cs="SimSun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ascii="仿宋_GB2312" w:hAnsi="SimSun" w:eastAsia="仿宋_GB2312" w:cs="SimSun"/>
                <w:bCs/>
                <w:spacing w:val="-20"/>
                <w:kern w:val="0"/>
                <w:sz w:val="30"/>
                <w:szCs w:val="30"/>
              </w:rPr>
              <w:t>200</w:t>
            </w:r>
            <w:r>
              <w:rPr>
                <w:rFonts w:hint="eastAsia" w:ascii="仿宋_GB2312" w:hAnsi="SimSun" w:eastAsia="仿宋_GB2312" w:cs="SimSun"/>
                <w:bCs/>
                <w:spacing w:val="-20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SimSun" w:eastAsia="仿宋_GB2312" w:cs="SimSun"/>
                <w:bCs/>
                <w:spacing w:val="-20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SimSun" w:eastAsia="仿宋_GB2312" w:cs="SimSun"/>
                <w:bCs/>
                <w:spacing w:val="-20"/>
                <w:kern w:val="0"/>
                <w:sz w:val="30"/>
                <w:szCs w:val="30"/>
                <w:lang w:val="en-US" w:eastAsia="zh-CN"/>
              </w:rPr>
              <w:t>4-12月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30"/>
                <w:szCs w:val="30"/>
                <w:lang w:val="en-US" w:eastAsia="zh-CN"/>
              </w:rPr>
              <w:t>0.225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  <w:t>0.35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D0D0D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D0D0D"/>
                <w:sz w:val="30"/>
                <w:szCs w:val="30"/>
                <w:lang w:val="en-US" w:eastAsia="zh-CN"/>
              </w:rPr>
              <w:t>575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Cs/>
                <w:spacing w:val="-20"/>
                <w:kern w:val="0"/>
                <w:sz w:val="30"/>
                <w:szCs w:val="30"/>
              </w:rPr>
              <w:t>201</w:t>
            </w:r>
            <w:r>
              <w:rPr>
                <w:rFonts w:hint="eastAsia" w:ascii="仿宋_GB2312" w:hAnsi="SimSun" w:eastAsia="仿宋_GB2312" w:cs="SimSun"/>
                <w:bCs/>
                <w:spacing w:val="-20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SimSun" w:eastAsia="仿宋_GB2312" w:cs="SimSun"/>
                <w:bCs/>
                <w:spacing w:val="-20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SimSun" w:eastAsia="仿宋_GB2312" w:cs="SimSun"/>
                <w:bCs/>
                <w:spacing w:val="-20"/>
                <w:kern w:val="0"/>
                <w:sz w:val="30"/>
                <w:szCs w:val="30"/>
                <w:lang w:val="en-US" w:eastAsia="zh-CN"/>
              </w:rPr>
              <w:t>4-12月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30"/>
                <w:szCs w:val="30"/>
                <w:lang w:val="en-US" w:eastAsia="zh-CN"/>
              </w:rPr>
              <w:t>0.09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0.15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0.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SimSun" w:eastAsia="仿宋_GB2312" w:cs="SimSun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Cs/>
                <w:kern w:val="0"/>
                <w:sz w:val="30"/>
                <w:szCs w:val="30"/>
              </w:rPr>
              <w:t>200</w:t>
            </w:r>
            <w:r>
              <w:rPr>
                <w:rFonts w:hint="eastAsia" w:ascii="仿宋_GB2312" w:hAnsi="SimSun" w:eastAsia="仿宋_GB2312" w:cs="SimSun"/>
                <w:bCs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SimSun" w:eastAsia="仿宋_GB2312" w:cs="SimSun"/>
                <w:bCs/>
                <w:kern w:val="0"/>
                <w:sz w:val="30"/>
                <w:szCs w:val="30"/>
              </w:rPr>
              <w:t>年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  <w:t>0.3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  <w:t>0.35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  <w:t>0.65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0.12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0.15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SimSun" w:eastAsia="仿宋_GB2312" w:cs="SimSun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Cs/>
                <w:kern w:val="0"/>
                <w:sz w:val="30"/>
                <w:szCs w:val="30"/>
              </w:rPr>
              <w:t>20</w:t>
            </w:r>
            <w:r>
              <w:rPr>
                <w:rFonts w:hint="eastAsia" w:ascii="仿宋_GB2312" w:hAnsi="SimSun" w:eastAsia="仿宋_GB2312" w:cs="SimSun"/>
                <w:bCs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SimSun" w:eastAsia="仿宋_GB2312" w:cs="SimSun"/>
                <w:bCs/>
                <w:kern w:val="0"/>
                <w:sz w:val="30"/>
                <w:szCs w:val="30"/>
              </w:rPr>
              <w:t>年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  <w:t>0.6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  <w:t>0.35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  <w:t>0.95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  <w:t>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  <w:t>—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  <w:t>—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SimSun" w:eastAsia="仿宋_GB2312" w:cs="SimSun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Cs/>
                <w:kern w:val="0"/>
                <w:sz w:val="30"/>
                <w:szCs w:val="30"/>
              </w:rPr>
              <w:t>201</w:t>
            </w:r>
            <w:r>
              <w:rPr>
                <w:rFonts w:hint="eastAsia" w:ascii="仿宋_GB2312" w:hAnsi="SimSun" w:eastAsia="仿宋_GB2312" w:cs="SimSun"/>
                <w:bCs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SimSun" w:eastAsia="仿宋_GB2312" w:cs="SimSun"/>
                <w:bCs/>
                <w:kern w:val="0"/>
                <w:sz w:val="30"/>
                <w:szCs w:val="30"/>
              </w:rPr>
              <w:t>年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  <w:t>0.9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  <w:t>0.35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  <w:t>1.25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  <w:t>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  <w:t>—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  <w:t>—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SimSun" w:eastAsia="仿宋_GB2312" w:cs="SimSun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Cs/>
                <w:kern w:val="0"/>
                <w:sz w:val="30"/>
                <w:szCs w:val="30"/>
              </w:rPr>
              <w:t>201</w:t>
            </w:r>
            <w:r>
              <w:rPr>
                <w:rFonts w:hint="eastAsia" w:ascii="仿宋_GB2312" w:hAnsi="SimSun" w:eastAsia="仿宋_GB2312" w:cs="SimSun"/>
                <w:bCs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SimSun" w:eastAsia="仿宋_GB2312" w:cs="SimSun"/>
                <w:bCs/>
                <w:kern w:val="0"/>
                <w:sz w:val="30"/>
                <w:szCs w:val="30"/>
              </w:rPr>
              <w:t>年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1.2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30"/>
                <w:szCs w:val="30"/>
              </w:rPr>
              <w:t>0.35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1.55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  <w:t>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  <w:t>—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  <w:t>—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SimSun" w:eastAsia="仿宋_GB2312" w:cs="SimSun"/>
                <w:b/>
                <w:bCs/>
                <w:kern w:val="0"/>
                <w:sz w:val="30"/>
                <w:szCs w:val="30"/>
              </w:rPr>
              <w:t>—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textAlignment w:val="auto"/>
        <w:rPr>
          <w:rFonts w:hint="eastAsia" w:ascii="FangSong" w:hAnsi="FangSong" w:eastAsia="FangSong" w:cs="FangSong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D0D0D"/>
          <w:kern w:val="2"/>
          <w:sz w:val="30"/>
          <w:szCs w:val="30"/>
        </w:rPr>
        <w:t>注：</w:t>
      </w:r>
      <w:r>
        <w:rPr>
          <w:rFonts w:hint="eastAsia" w:ascii="仿宋_GB2312" w:hAnsi="仿宋_GB2312" w:eastAsia="仿宋_GB2312" w:cs="仿宋_GB2312"/>
          <w:color w:val="0D0D0D"/>
          <w:kern w:val="2"/>
          <w:sz w:val="30"/>
          <w:szCs w:val="30"/>
          <w:lang w:val="en-US" w:eastAsia="zh-CN"/>
        </w:rPr>
        <w:t>1、</w:t>
      </w:r>
      <w:r>
        <w:rPr>
          <w:rFonts w:hint="eastAsia" w:ascii="FangSong" w:hAnsi="FangSong" w:eastAsia="FangSong" w:cs="FangSong"/>
          <w:b w:val="0"/>
          <w:bCs w:val="0"/>
          <w:color w:val="0D0D0D"/>
          <w:kern w:val="2"/>
          <w:sz w:val="30"/>
          <w:szCs w:val="30"/>
        </w:rPr>
        <w:t>根据《浙江省拖拉机报废更新管理办法》（浙政办发〔2007〕64号）规定，</w:t>
      </w:r>
      <w:r>
        <w:rPr>
          <w:rFonts w:hint="eastAsia" w:ascii="FangSong" w:hAnsi="FangSong" w:eastAsia="FangSong" w:cs="FangSong"/>
          <w:b w:val="0"/>
          <w:bCs w:val="0"/>
          <w:color w:val="0D0D0D"/>
          <w:sz w:val="30"/>
          <w:szCs w:val="30"/>
          <w:lang w:val="en-US" w:eastAsia="zh-CN"/>
        </w:rPr>
        <w:t>14.7千瓦以上（含）、货厢与底盘一体的轮式</w:t>
      </w:r>
      <w:r>
        <w:rPr>
          <w:rFonts w:hint="eastAsia" w:ascii="FangSong" w:hAnsi="FangSong" w:eastAsia="FangSong" w:cs="FangSong"/>
          <w:b w:val="0"/>
          <w:bCs w:val="0"/>
          <w:color w:val="0D0D0D"/>
          <w:sz w:val="30"/>
          <w:szCs w:val="30"/>
        </w:rPr>
        <w:t>拖拉机</w:t>
      </w:r>
      <w:r>
        <w:rPr>
          <w:rFonts w:hint="eastAsia" w:ascii="FangSong" w:hAnsi="FangSong" w:eastAsia="FangSong" w:cs="FangSong"/>
          <w:b w:val="0"/>
          <w:bCs w:val="0"/>
          <w:color w:val="0D0D0D"/>
          <w:kern w:val="2"/>
          <w:sz w:val="30"/>
          <w:szCs w:val="30"/>
        </w:rPr>
        <w:t>强制报废年限12年，</w:t>
      </w:r>
      <w:r>
        <w:rPr>
          <w:rFonts w:hint="eastAsia" w:ascii="FangSong" w:hAnsi="FangSong" w:eastAsia="FangSong" w:cs="FangSong"/>
          <w:b w:val="0"/>
          <w:bCs w:val="0"/>
          <w:color w:val="0D0D0D"/>
          <w:sz w:val="30"/>
          <w:szCs w:val="30"/>
          <w:lang w:val="en-US" w:eastAsia="zh-CN"/>
        </w:rPr>
        <w:t>14.7千瓦以下、带有货厢的轮式运输型</w:t>
      </w:r>
      <w:r>
        <w:rPr>
          <w:rFonts w:hint="eastAsia" w:ascii="FangSong" w:hAnsi="FangSong" w:eastAsia="FangSong" w:cs="FangSong"/>
          <w:b w:val="0"/>
          <w:bCs w:val="0"/>
          <w:color w:val="0D0D0D"/>
          <w:sz w:val="30"/>
          <w:szCs w:val="30"/>
        </w:rPr>
        <w:t>拖拉机</w:t>
      </w:r>
      <w:r>
        <w:rPr>
          <w:rFonts w:hint="eastAsia" w:ascii="FangSong" w:hAnsi="FangSong" w:eastAsia="FangSong" w:cs="FangSong"/>
          <w:b w:val="0"/>
          <w:bCs w:val="0"/>
          <w:color w:val="0D0D0D"/>
          <w:kern w:val="2"/>
          <w:sz w:val="30"/>
          <w:szCs w:val="30"/>
        </w:rPr>
        <w:t>强制报废年限</w:t>
      </w:r>
      <w:r>
        <w:rPr>
          <w:rFonts w:hint="eastAsia" w:ascii="FangSong" w:hAnsi="FangSong" w:eastAsia="FangSong" w:cs="FangSong"/>
          <w:b w:val="0"/>
          <w:bCs w:val="0"/>
          <w:sz w:val="30"/>
          <w:szCs w:val="30"/>
        </w:rPr>
        <w:t>9年</w:t>
      </w:r>
      <w:r>
        <w:rPr>
          <w:rFonts w:hint="eastAsia" w:ascii="FangSong" w:hAnsi="FangSong" w:eastAsia="FangSong" w:cs="FangSong"/>
          <w:b w:val="0"/>
          <w:bCs w:val="0"/>
          <w:color w:val="0D0D0D"/>
          <w:kern w:val="2"/>
          <w:sz w:val="30"/>
          <w:szCs w:val="30"/>
        </w:rPr>
        <w:t>。</w:t>
      </w:r>
      <w:r>
        <w:rPr>
          <w:rFonts w:hint="eastAsia" w:ascii="FangSong" w:hAnsi="FangSong" w:eastAsia="FangSong" w:cs="FangSong"/>
          <w:b w:val="0"/>
          <w:bCs w:val="0"/>
          <w:color w:val="0D0D0D"/>
          <w:kern w:val="2"/>
          <w:sz w:val="30"/>
          <w:szCs w:val="30"/>
          <w:lang w:val="en-US" w:eastAsia="zh-CN"/>
        </w:rPr>
        <w:t>2、小型方向盘式拖拉机按照注册登记年度，参照</w:t>
      </w:r>
      <w:r>
        <w:rPr>
          <w:rFonts w:hint="eastAsia" w:ascii="FangSong" w:hAnsi="FangSong" w:eastAsia="FangSong" w:cs="FangSong"/>
          <w:b w:val="0"/>
          <w:bCs w:val="0"/>
          <w:color w:val="0D0D0D"/>
          <w:sz w:val="30"/>
          <w:szCs w:val="30"/>
          <w:lang w:val="en-US" w:eastAsia="zh-CN"/>
        </w:rPr>
        <w:t>14.7千瓦以下变型拖拉机的提前报废补偿标准执行。3、</w:t>
      </w:r>
      <w:r>
        <w:rPr>
          <w:rFonts w:hint="eastAsia" w:ascii="FangSong" w:hAnsi="FangSong" w:eastAsia="FangSong" w:cs="FangSong"/>
          <w:b w:val="0"/>
          <w:bCs w:val="0"/>
          <w:color w:val="0D0D0D"/>
          <w:kern w:val="2"/>
          <w:sz w:val="30"/>
          <w:szCs w:val="30"/>
          <w:lang w:val="en-US" w:eastAsia="zh-CN"/>
        </w:rPr>
        <w:t>省高耗能农机</w:t>
      </w:r>
      <w:r>
        <w:rPr>
          <w:rFonts w:hint="eastAsia" w:ascii="FangSong" w:hAnsi="FangSong" w:eastAsia="FangSong" w:cs="FangSong"/>
          <w:sz w:val="30"/>
          <w:szCs w:val="30"/>
        </w:rPr>
        <w:t>补偿资金由省财政承担70%，县（市、区）财政承担30%</w:t>
      </w:r>
      <w:r>
        <w:rPr>
          <w:rFonts w:hint="eastAsia" w:ascii="FangSong" w:hAnsi="FangSong" w:eastAsia="FangSong" w:cs="FangSong"/>
          <w:sz w:val="30"/>
          <w:szCs w:val="30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Sim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E027D"/>
    <w:rsid w:val="6E2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2019-11-22T02:13:00Z</dcterms:created>
  <dc:creator>请你下雨不打伞。</dc:creator>
  <cp:lastModifiedBy>请你下雨不打伞。</cp:lastModifiedBy>
  <dcterms:modified xsi:type="dcterms:W3CDTF">2019-11-22T02:13:33Z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